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417B4">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05.03.2026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1417B4">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Пастощук Г.О.</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1417B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417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1417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"Козятинське районне пiдприємство "Агромаш" (03567316)</w:t>
      </w:r>
    </w:p>
    <w:p w:rsidR="00000000" w:rsidRDefault="001417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1417B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04.03.2026, Затвердити рiчну iнформацiю за 2025 рiк, розмiстити на в</w:t>
      </w:r>
      <w:r>
        <w:rPr>
          <w:rFonts w:ascii="Times New Roman CYR" w:hAnsi="Times New Roman CYR" w:cs="Times New Roman CYR"/>
          <w:sz w:val="24"/>
          <w:szCs w:val="24"/>
        </w:rPr>
        <w:t>ласному сайтi та подати до НКЦПФР</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w:t>
      </w:r>
      <w:r>
        <w:rPr>
          <w:rFonts w:ascii="Times New Roman CYR" w:hAnsi="Times New Roman CYR" w:cs="Times New Roman CYR"/>
          <w:sz w:val="24"/>
          <w:szCs w:val="24"/>
        </w:rPr>
        <w:t>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w:t>
            </w:r>
            <w:r>
              <w:rPr>
                <w:rFonts w:ascii="Times New Roman CYR" w:hAnsi="Times New Roman CYR" w:cs="Times New Roman CYR"/>
                <w:sz w:val="24"/>
                <w:szCs w:val="24"/>
              </w:rPr>
              <w:t xml:space="preserve">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http://www.kozagromash.pat.ua/emitents/reports/year/</w:t>
            </w:r>
          </w:p>
        </w:tc>
        <w:tc>
          <w:tcPr>
            <w:tcW w:w="1885" w:type="dxa"/>
            <w:tcBorders>
              <w:top w:val="nil"/>
              <w:left w:val="nil"/>
              <w:bottom w:val="single" w:sz="6" w:space="0" w:color="auto"/>
              <w:right w:val="nil"/>
            </w:tcBorders>
            <w:vAlign w:val="bottom"/>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05.03.2026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1417B4">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w:t>
      </w:r>
      <w:r>
        <w:rPr>
          <w:rFonts w:ascii="Times New Roman CYR" w:hAnsi="Times New Roman CYR" w:cs="Times New Roman CYR"/>
          <w:sz w:val="24"/>
          <w:szCs w:val="24"/>
        </w:rPr>
        <w:t xml:space="preserve">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w:t>
      </w:r>
      <w:r>
        <w:rPr>
          <w:rFonts w:ascii="Times New Roman CYR" w:hAnsi="Times New Roman CYR" w:cs="Times New Roman CYR"/>
          <w:sz w:val="24"/>
          <w:szCs w:val="24"/>
        </w:rPr>
        <w:t>ають забезпечення за випуском цiнних паперiв ПрАТ "Козятинське РП "Агромаш" вiдсутнi.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для е</w:t>
      </w:r>
      <w:r>
        <w:rPr>
          <w:rFonts w:ascii="Times New Roman CYR" w:hAnsi="Times New Roman CYR" w:cs="Times New Roman CYR"/>
          <w:sz w:val="24"/>
          <w:szCs w:val="24"/>
        </w:rPr>
        <w:t>кономiки та безпеки держави на не займає монопольного (домiнуючого) становища.</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 в розмi</w:t>
      </w:r>
      <w:r>
        <w:rPr>
          <w:rFonts w:ascii="Times New Roman CYR" w:hAnsi="Times New Roman CYR" w:cs="Times New Roman CYR"/>
          <w:sz w:val="24"/>
          <w:szCs w:val="24"/>
        </w:rPr>
        <w:t>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w:t>
      </w:r>
      <w:r>
        <w:rPr>
          <w:rFonts w:ascii="Times New Roman CYR" w:hAnsi="Times New Roman CYR" w:cs="Times New Roman CYR"/>
          <w:sz w:val="24"/>
          <w:szCs w:val="24"/>
        </w:rPr>
        <w:t>i лiцензiї не розкрита, оскiльки Товариство не здiйснює види дiяльностi, якi пiдлягають лiцензуванню.</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емiтент не за</w:t>
      </w:r>
      <w:r>
        <w:rPr>
          <w:rFonts w:ascii="Times New Roman CYR" w:hAnsi="Times New Roman CYR" w:cs="Times New Roman CYR"/>
          <w:sz w:val="24"/>
          <w:szCs w:val="24"/>
        </w:rPr>
        <w:t xml:space="preserve">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w:t>
      </w:r>
      <w:r>
        <w:rPr>
          <w:rFonts w:ascii="Times New Roman CYR" w:hAnsi="Times New Roman CYR" w:cs="Times New Roman CYR"/>
          <w:sz w:val="24"/>
          <w:szCs w:val="24"/>
        </w:rPr>
        <w:t xml:space="preserve">нт в асоцiацiї, корпорацiї, консорцiуми, концерни та iншi об'єднання за галузевими, територiальними та iншими принципами не входить. </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w:t>
      </w:r>
      <w:r>
        <w:rPr>
          <w:rFonts w:ascii="Times New Roman CYR" w:hAnsi="Times New Roman CYR" w:cs="Times New Roman CYR"/>
          <w:sz w:val="24"/>
          <w:szCs w:val="24"/>
        </w:rPr>
        <w:t>ених структурних пiдроздiлiв емiтент не має.</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такого емiтента. Працiвн</w:t>
      </w:r>
      <w:r>
        <w:rPr>
          <w:rFonts w:ascii="Times New Roman CYR" w:hAnsi="Times New Roman CYR" w:cs="Times New Roman CYR"/>
          <w:sz w:val="24"/>
          <w:szCs w:val="24"/>
        </w:rPr>
        <w:t>ики пiдприємства акцiями емiтента не володiють.</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Борговi цiннi папери емiтент не випуска</w:t>
      </w:r>
      <w:r>
        <w:rPr>
          <w:rFonts w:ascii="Times New Roman CYR" w:hAnsi="Times New Roman CYR" w:cs="Times New Roman CYR"/>
          <w:sz w:val="24"/>
          <w:szCs w:val="24"/>
        </w:rPr>
        <w:t>в.</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випускав.</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w:t>
      </w:r>
      <w:r>
        <w:rPr>
          <w:rFonts w:ascii="Times New Roman CYR" w:hAnsi="Times New Roman CYR" w:cs="Times New Roman CYR"/>
          <w:sz w:val="24"/>
          <w:szCs w:val="24"/>
        </w:rPr>
        <w:t>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w:t>
      </w:r>
      <w:r>
        <w:rPr>
          <w:rFonts w:ascii="Times New Roman CYR" w:hAnsi="Times New Roman CYR" w:cs="Times New Roman CYR"/>
          <w:sz w:val="24"/>
          <w:szCs w:val="24"/>
        </w:rPr>
        <w:t xml:space="preserve">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w:t>
      </w:r>
      <w:r>
        <w:rPr>
          <w:rFonts w:ascii="Times New Roman CYR" w:hAnsi="Times New Roman CYR" w:cs="Times New Roman CYR"/>
          <w:sz w:val="24"/>
          <w:szCs w:val="24"/>
        </w:rPr>
        <w:t>етiй особi.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w:t>
      </w:r>
      <w:r>
        <w:rPr>
          <w:rFonts w:ascii="Times New Roman CYR" w:hAnsi="Times New Roman CYR" w:cs="Times New Roman CYR"/>
          <w:sz w:val="24"/>
          <w:szCs w:val="24"/>
        </w:rPr>
        <w:t>.1.2 - 9.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w:t>
      </w:r>
      <w:r>
        <w:rPr>
          <w:rFonts w:ascii="Times New Roman CYR" w:hAnsi="Times New Roman CYR" w:cs="Times New Roman CYR"/>
          <w:sz w:val="24"/>
          <w:szCs w:val="24"/>
        </w:rPr>
        <w:t>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w:t>
      </w:r>
      <w:r>
        <w:rPr>
          <w:rFonts w:ascii="Times New Roman CYR" w:hAnsi="Times New Roman CYR" w:cs="Times New Roman CYR"/>
          <w:sz w:val="24"/>
          <w:szCs w:val="24"/>
        </w:rPr>
        <w:t>агальний опис прийнятих на таких зборах рiшень. У зв'язку з вiйськовою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w:t>
      </w:r>
      <w:r>
        <w:rPr>
          <w:rFonts w:ascii="Times New Roman CYR" w:hAnsi="Times New Roman CYR" w:cs="Times New Roman CYR"/>
          <w:sz w:val="24"/>
          <w:szCs w:val="24"/>
        </w:rPr>
        <w:t>дення воєнного стану в Українi", затвердженого Законом України вiд 24 лютого 2022 року №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w:t>
      </w:r>
      <w:r>
        <w:rPr>
          <w:rFonts w:ascii="Times New Roman CYR" w:hAnsi="Times New Roman CYR" w:cs="Times New Roman CYR"/>
          <w:sz w:val="24"/>
          <w:szCs w:val="24"/>
        </w:rPr>
        <w:t xml:space="preserve"> акцiонерiв не проводились.</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w:t>
      </w:r>
      <w:r>
        <w:rPr>
          <w:rFonts w:ascii="Times New Roman CYR" w:hAnsi="Times New Roman CYR" w:cs="Times New Roman CYR"/>
          <w:sz w:val="24"/>
          <w:szCs w:val="24"/>
        </w:rPr>
        <w:t>ацiя про проведення засiдання комiтетiв ради. Комiтети не створенi.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w:t>
      </w:r>
      <w:r>
        <w:rPr>
          <w:rFonts w:ascii="Times New Roman CYR" w:hAnsi="Times New Roman CYR" w:cs="Times New Roman CYR"/>
          <w:sz w:val="24"/>
          <w:szCs w:val="24"/>
        </w:rPr>
        <w:t xml:space="preserve"> затверджувався, рiшення про затвердження декларацiї схильностi до ризикiв не приймалось.</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w:t>
      </w:r>
      <w:r>
        <w:rPr>
          <w:rFonts w:ascii="Times New Roman CYR" w:hAnsi="Times New Roman CYR" w:cs="Times New Roman CYR"/>
          <w:sz w:val="24"/>
          <w:szCs w:val="24"/>
        </w:rPr>
        <w:t>х осiб (крiм ради та виконавчого органу) особи. Статутом Товариства не передбаченi iншi посадовi особи, крiм ради та виконавчого органу.</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В ПрАТ "Козятинське РП "Агромаш" вiдсутнi</w:t>
      </w:r>
      <w:r>
        <w:rPr>
          <w:rFonts w:ascii="Times New Roman CYR" w:hAnsi="Times New Roman CYR" w:cs="Times New Roman CYR"/>
          <w:sz w:val="24"/>
          <w:szCs w:val="24"/>
        </w:rPr>
        <w:t xml:space="preserve"> внутрiшнi документи, що регламентують питання винагороди, та звiту про винагороду членiв наглядової ради та/або виконавчого органу. Члени виконавчого органу та ради особи не отримують винагороду.</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w:t>
      </w:r>
      <w:r>
        <w:rPr>
          <w:rFonts w:ascii="Times New Roman CYR" w:hAnsi="Times New Roman CYR" w:cs="Times New Roman CYR"/>
          <w:sz w:val="24"/>
          <w:szCs w:val="24"/>
        </w:rPr>
        <w:t xml:space="preserve"> Внутрiшнього документа, який визначає полiтику щодо розкриття iнформацiї особою у товариствi не було затверджено.</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w:t>
      </w:r>
      <w:r>
        <w:rPr>
          <w:rFonts w:ascii="Times New Roman CYR" w:hAnsi="Times New Roman CYR" w:cs="Times New Roman CYR"/>
          <w:sz w:val="24"/>
          <w:szCs w:val="24"/>
        </w:rPr>
        <w:t>тi у емiтента вiдносин з iноземними державами зони ризику. У Емiтента немає жодних вiдносин з iноземними державами зони ризику.</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w:t>
      </w:r>
      <w:r>
        <w:rPr>
          <w:rFonts w:ascii="Times New Roman CYR" w:hAnsi="Times New Roman CYR" w:cs="Times New Roman CYR"/>
          <w:sz w:val="24"/>
          <w:szCs w:val="24"/>
        </w:rPr>
        <w:t xml:space="preserve"> має в наявностi iнформацiї про корпоративнi договори укладенi акцiонерами емiтента.</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емiтентом. Договори та/або правочини, умовою чи</w:t>
      </w:r>
      <w:r>
        <w:rPr>
          <w:rFonts w:ascii="Times New Roman CYR" w:hAnsi="Times New Roman CYR" w:cs="Times New Roman CYR"/>
          <w:sz w:val="24"/>
          <w:szCs w:val="24"/>
        </w:rPr>
        <w:t xml:space="preserve">нностi яких є незмiннiсть осiб, якi здiйснюють контроль над емiтентом не укладалися.                   </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w:t>
      </w:r>
      <w:r>
        <w:rPr>
          <w:rFonts w:ascii="Times New Roman CYR" w:hAnsi="Times New Roman CYR" w:cs="Times New Roman CYR"/>
          <w:sz w:val="24"/>
          <w:szCs w:val="24"/>
        </w:rPr>
        <w:lastRenderedPageBreak/>
        <w:t xml:space="preserve">затверджувало.                        </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w:t>
      </w:r>
      <w:r>
        <w:rPr>
          <w:rFonts w:ascii="Times New Roman CYR" w:hAnsi="Times New Roman CYR" w:cs="Times New Roman CYR"/>
          <w:sz w:val="24"/>
          <w:szCs w:val="24"/>
        </w:rPr>
        <w:t>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w:t>
      </w:r>
      <w:r>
        <w:rPr>
          <w:rFonts w:ascii="Times New Roman CYR" w:hAnsi="Times New Roman CYR" w:cs="Times New Roman CYR"/>
          <w:sz w:val="24"/>
          <w:szCs w:val="24"/>
        </w:rPr>
        <w:t>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w:t>
      </w:r>
      <w:r>
        <w:rPr>
          <w:rFonts w:ascii="Times New Roman CYR" w:hAnsi="Times New Roman CYR" w:cs="Times New Roman CYR"/>
          <w:sz w:val="24"/>
          <w:szCs w:val="24"/>
        </w:rPr>
        <w:t>и розкривається у випадку проведення приватними акцiонерними товариствами аудиту фiнансової звiтностi. Аудит не проводився.</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V.2.1-6 Основнi вiдомостi про ФОН. </w:t>
      </w:r>
      <w:r>
        <w:rPr>
          <w:rFonts w:ascii="Times New Roman CYR" w:hAnsi="Times New Roman CYR" w:cs="Times New Roman CYR"/>
          <w:sz w:val="24"/>
          <w:szCs w:val="24"/>
        </w:rPr>
        <w:t>Товариство не випускало сертифiкати ФОН.</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w:t>
      </w:r>
      <w:r>
        <w:rPr>
          <w:rFonts w:ascii="Times New Roman CYR" w:hAnsi="Times New Roman CYR" w:cs="Times New Roman CYR"/>
          <w:sz w:val="24"/>
          <w:szCs w:val="24"/>
        </w:rPr>
        <w:t>них паперів</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"Козятинське районне пiдприємство "Агромаш"</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"Козятинське РП "Агромаш"</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03567316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31.03.2014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22100, Вінницька обл., Хмiльницький р-н, м.Козятин, вул.Довженка,103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kagr@vinnitsa.com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http://www.kozagromash.pat.ua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+38063296218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126470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33.12 - Ремонт i технiчне обслуговування машин i устаткування промислового призначення</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д/н - д/н</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д/н - д/н</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ФIЛIЯ-ВIННИЦЬКЕ ОБЛАСНЕ УПРАВЛIННЯ АТ </w:t>
            </w:r>
            <w:r>
              <w:rPr>
                <w:rFonts w:ascii="Times New Roman CYR" w:hAnsi="Times New Roman CYR" w:cs="Times New Roman CYR"/>
                <w:sz w:val="24"/>
                <w:szCs w:val="24"/>
              </w:rPr>
              <w:lastRenderedPageBreak/>
              <w:t>"ДЕРЖАВНИЙ ОЩАДНИЙ БАНК УКРАЇНИ"</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302076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UA343020760000000260083283804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1417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наглiдової ради Iльченко Дмитро Вячеславович, члени наглядової ради Левчук Сергiй Леонiдович, Масюйда Iван Миколайович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  Директор</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Пастощук Галина Олександрiвна</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p w:rsidR="00000000" w:rsidRDefault="001417B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w:t>
      </w:r>
      <w:r>
        <w:rPr>
          <w:rFonts w:ascii="Times New Roman CYR" w:hAnsi="Times New Roman CYR" w:cs="Times New Roman CYR"/>
          <w:b/>
          <w:bCs/>
          <w:sz w:val="24"/>
          <w:szCs w:val="24"/>
        </w:rPr>
        <w:t>ія щодо посадових осіб</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Масюйда Iван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С/спецiальна, Бердичiвський машинобудiвельний технiкум</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2018 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28.08.2020</w:t>
            </w: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Iльченко Дмитро Вячеславович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Московський автомобiльно -будiвельний iнститут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ПВКП "Ятрань"</w:t>
            </w: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20423949</w:t>
            </w: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директора з 2005 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28.08.2020</w:t>
            </w: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Левчук Сергiй Леонiдович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Львiвський сiльскогосподарський iнститут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2019 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28.08.2020</w:t>
            </w: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Пастощук Галина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С/спецiальна, Брацлавс</w:t>
            </w:r>
            <w:r>
              <w:rPr>
                <w:rFonts w:ascii="Times New Roman CYR" w:hAnsi="Times New Roman CYR" w:cs="Times New Roman CYR"/>
                <w:sz w:val="20"/>
                <w:szCs w:val="20"/>
              </w:rPr>
              <w:lastRenderedPageBreak/>
              <w:t>ький сiльскогосподарський технiкум</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51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ПрАТ "Козятинське РП "Агромаш"</w:t>
            </w: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03567316</w:t>
            </w: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з 18.12.2019 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28.08.2020</w:t>
            </w: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1417B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Пастощук Галина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Масюйда Iван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0,395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2 000</w:t>
            </w:r>
          </w:p>
        </w:tc>
        <w:tc>
          <w:tcPr>
            <w:tcW w:w="17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Iльченко Дмитро Вячеславович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326 160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64,47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326 160</w:t>
            </w:r>
          </w:p>
        </w:tc>
        <w:tc>
          <w:tcPr>
            <w:tcW w:w="17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Левчук Сергiй Леонiдович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0,395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2 000</w:t>
            </w:r>
          </w:p>
        </w:tc>
        <w:tc>
          <w:tcPr>
            <w:tcW w:w="17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1417B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417B4">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1417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w:t>
      </w:r>
      <w:r>
        <w:rPr>
          <w:rFonts w:ascii="Times New Roman CYR" w:hAnsi="Times New Roman CYR" w:cs="Times New Roman CYR"/>
          <w:sz w:val="24"/>
          <w:szCs w:val="24"/>
        </w:rPr>
        <w:t>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будь-яких об'єднань пiдприємств</w:t>
      </w:r>
      <w:r>
        <w:rPr>
          <w:rFonts w:ascii="Times New Roman CYR" w:hAnsi="Times New Roman CYR" w:cs="Times New Roman CYR"/>
          <w:sz w:val="24"/>
          <w:szCs w:val="24"/>
        </w:rPr>
        <w:t>.</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w:t>
      </w:r>
      <w:r>
        <w:rPr>
          <w:rFonts w:ascii="Times New Roman CYR" w:hAnsi="Times New Roman CYR" w:cs="Times New Roman CYR"/>
          <w:sz w:val="24"/>
          <w:szCs w:val="24"/>
        </w:rPr>
        <w:t>льностi.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на ПрАТ "КОЗЯТИНСЬКЕ РП "АГРОМАШ" ведеться по журнально - ордернiй формi. В звiтному перiодi пiдприємство здiйснювало бухгалтерський облiк у вiдповiдностi з &lt;Планом рахункiв бухгалтерського облiку активiв, капiталу, зобов'язань та госп</w:t>
      </w:r>
      <w:r>
        <w:rPr>
          <w:rFonts w:ascii="Times New Roman CYR" w:hAnsi="Times New Roman CYR" w:cs="Times New Roman CYR"/>
          <w:sz w:val="24"/>
          <w:szCs w:val="24"/>
        </w:rPr>
        <w:t>одарських операцiй пiдприємств та органiзацiй, затвердженим наказом Мiнфiну України вiд 30.11.1999 року за №291.Бухгалтерський облiк в цiлому проводиться з дотриманням П(С)БО та облiкової полiтики.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запасiв (матерiалiв, сировини, палива), комплектуюч</w:t>
      </w:r>
      <w:r>
        <w:rPr>
          <w:rFonts w:ascii="Times New Roman CYR" w:hAnsi="Times New Roman CYR" w:cs="Times New Roman CYR"/>
          <w:sz w:val="24"/>
          <w:szCs w:val="24"/>
        </w:rPr>
        <w:t>их виробiв та напiвфабрикатiв при вiдпуску у виробництво чи iншому вибуттi здiйснюється за методом середньозваженої собiвартостi.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основних засобiв та нематерiальних активiв нараховується за прямолiнiйним методом, за яким рiчна сума амортизацiї </w:t>
      </w:r>
      <w:r>
        <w:rPr>
          <w:rFonts w:ascii="Times New Roman CYR" w:hAnsi="Times New Roman CYR" w:cs="Times New Roman CYR"/>
          <w:sz w:val="24"/>
          <w:szCs w:val="24"/>
        </w:rPr>
        <w:t>визначається дiленням вартостi, яка амортизується, на строк корисного використання кожного об'єкта основних засобiв. При визначеннi строку корисного використання Товариством враховується очiкуване використання об'єкта пiдприємством з урахуванням його потуж</w:t>
      </w:r>
      <w:r>
        <w:rPr>
          <w:rFonts w:ascii="Times New Roman CYR" w:hAnsi="Times New Roman CYR" w:cs="Times New Roman CYR"/>
          <w:sz w:val="24"/>
          <w:szCs w:val="24"/>
        </w:rPr>
        <w:t>ностi та продуктивностi.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запасiв (покупних товарiв) для роздрiбної торгiвлi здiйснюється за цiнами продажу.</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Транспортно-заготiвельнi затрати вiдображаються загальною сумою на окремому субрахунку рахунку облiку запасiв.</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забогованiсть визн</w:t>
      </w:r>
      <w:r>
        <w:rPr>
          <w:rFonts w:ascii="Times New Roman CYR" w:hAnsi="Times New Roman CYR" w:cs="Times New Roman CYR"/>
          <w:sz w:val="24"/>
          <w:szCs w:val="24"/>
        </w:rPr>
        <w:t>ачається активом, якщо iснує можливiсть отримання товариством майбутньої користi i може бути достовiрно визначена її сума.</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Величина резерву сумнiвних боргiв визначається по окремих дебiторах. Дохiд визначається в момент збiльшення активу або зменшення зобо</w:t>
      </w:r>
      <w:r>
        <w:rPr>
          <w:rFonts w:ascii="Times New Roman CYR" w:hAnsi="Times New Roman CYR" w:cs="Times New Roman CYR"/>
          <w:sz w:val="24"/>
          <w:szCs w:val="24"/>
        </w:rPr>
        <w:t>в'язань, що обумовлюються збiльшенням власного капiталу.</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Видатки вiдображаються в бухгалтерському облiку одночасно iз зменшенням активу або збiльшенням зобов'язань. Резерв для забезпечення майбутнiх витрат i платежiв не створююється.Змiн в облiковiй полiти</w:t>
      </w:r>
      <w:r>
        <w:rPr>
          <w:rFonts w:ascii="Times New Roman CYR" w:hAnsi="Times New Roman CYR" w:cs="Times New Roman CYR"/>
          <w:sz w:val="24"/>
          <w:szCs w:val="24"/>
        </w:rPr>
        <w:t>цi на протязi звiтного перiоду не було.</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роцi для бухгалтерського облiку основних засобiв товариство застосовувало вимоги Положення (стандарту) бухгалтерського облiку 7 "Основнi засоби", затвердженого наказом Мiнiстерства фiнансiв України вiд 27 квiт</w:t>
      </w:r>
      <w:r>
        <w:rPr>
          <w:rFonts w:ascii="Times New Roman CYR" w:hAnsi="Times New Roman CYR" w:cs="Times New Roman CYR"/>
          <w:sz w:val="24"/>
          <w:szCs w:val="24"/>
        </w:rPr>
        <w:t>ня 2000 року №92 iз врахуванням змiн та доповнень.</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має довгостроковi фiнансовi iнвестицiї в акцiї, частки у статутному капiталi iнших пiдприємств.</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На пiдприємствi достатньо робочого капiталу для поточних проблем. Фiнансування дiяльностi емiтента здiйсню</w:t>
      </w:r>
      <w:r>
        <w:rPr>
          <w:rFonts w:ascii="Times New Roman CYR" w:hAnsi="Times New Roman CYR" w:cs="Times New Roman CYR"/>
          <w:sz w:val="24"/>
          <w:szCs w:val="24"/>
        </w:rPr>
        <w:t>ється за власнi кошти. Кредитними ресурсами пiдприємство не користується, iнвестицiї вiдсутнi. Робочого капiталу для поточних потреб не достатньо. Можливi шляхи для покращення лiквiдностi за оцiнками фахiвцiв емiтента полягають у вiдмови вiд зайвих витрат,</w:t>
      </w:r>
      <w:r>
        <w:rPr>
          <w:rFonts w:ascii="Times New Roman CYR" w:hAnsi="Times New Roman CYR" w:cs="Times New Roman CYR"/>
          <w:sz w:val="24"/>
          <w:szCs w:val="24"/>
        </w:rPr>
        <w:t xml:space="preserve"> змiни цiнової полiтики. Для забезпечення безперервного функцiонування пiдприємства, як суб'єкта господарювання необхiдно придiлити вiдповiдну увагу ефективнiй виробничiй дiяльностi, пошуку резервiв зниження витрат виробництва та погашення поточних зобов'я</w:t>
      </w:r>
      <w:r>
        <w:rPr>
          <w:rFonts w:ascii="Times New Roman CYR" w:hAnsi="Times New Roman CYR" w:cs="Times New Roman CYR"/>
          <w:sz w:val="24"/>
          <w:szCs w:val="24"/>
        </w:rPr>
        <w:t>зань.</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протягом звiтного року на пiдприємствi не проводилось.</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Основним</w:t>
      </w:r>
      <w:r>
        <w:rPr>
          <w:rFonts w:ascii="Times New Roman CYR" w:hAnsi="Times New Roman CYR" w:cs="Times New Roman CYR"/>
          <w:sz w:val="24"/>
          <w:szCs w:val="24"/>
        </w:rPr>
        <w:t xml:space="preserve"> напрямком роботи пiдприємства є здача в оренду примiщення та козлового крану.</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316.8 тис.грн.</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немає iнформацiї</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вiд</w:t>
      </w:r>
      <w:r>
        <w:rPr>
          <w:rFonts w:ascii="Times New Roman CYR" w:hAnsi="Times New Roman CYR" w:cs="Times New Roman CYR"/>
          <w:sz w:val="24"/>
          <w:szCs w:val="24"/>
        </w:rPr>
        <w:t xml:space="preserve"> здачi в оренду за 2025 рiк складає 316.8 тис.грн.</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виробництво не залежать вiд сезонних змiн.</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ПП Дорспецбуд-С</w:t>
      </w:r>
      <w:r>
        <w:rPr>
          <w:rFonts w:ascii="Times New Roman CYR" w:hAnsi="Times New Roman CYR" w:cs="Times New Roman CYR"/>
          <w:sz w:val="24"/>
          <w:szCs w:val="24"/>
        </w:rPr>
        <w:t>ерiвс-М</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ПП Екiпаж Плюс</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"ТЕПЛОВОЗ СЕРВIС"</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10).Основнi постачальники та види товарiв </w:t>
      </w:r>
      <w:r>
        <w:rPr>
          <w:rFonts w:ascii="Times New Roman CYR" w:hAnsi="Times New Roman CYR" w:cs="Times New Roman CYR"/>
          <w:sz w:val="24"/>
          <w:szCs w:val="24"/>
        </w:rPr>
        <w:t>або послуг, якi вони постачають/надають особi.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ТзОВ "ЕНЕРА" (активна електроенергiя);</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"КОЗЯТИНСЬКI ЕЛЕКТРИЧНI МЕРЕЖI" АТ "ВIННИЦЯОБЛЕНЕРГО"(розподiл електроенергiї).</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Послуги, якi </w:t>
      </w:r>
      <w:r>
        <w:rPr>
          <w:rFonts w:ascii="Times New Roman CYR" w:hAnsi="Times New Roman CYR" w:cs="Times New Roman CYR"/>
          <w:sz w:val="24"/>
          <w:szCs w:val="24"/>
        </w:rPr>
        <w:t>надає товариство, є важливими та необхiдними для iнфраструктури послуг регiону. В бiльшостi потенцiйних клiєнтiв вiдсутнi обiговi кошти. Це звичайно знижує показники дiлової активностi i ефективностi роботи капiталу. Вiдсутнiсть коштiв у клiєнтiв приводить</w:t>
      </w:r>
      <w:r>
        <w:rPr>
          <w:rFonts w:ascii="Times New Roman CYR" w:hAnsi="Times New Roman CYR" w:cs="Times New Roman CYR"/>
          <w:sz w:val="24"/>
          <w:szCs w:val="24"/>
        </w:rPr>
        <w:t xml:space="preserve"> до утворення дебiторської та кредиторської заборгованостi.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всi примiщення оформлено договори оренди. Цiни на оренду встановленi на рiвнi середнiх, якi склались для даного регiону.</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 немає iнформацiї;</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перспективi пiдприємство планує продовжувати здiйснювати тi ж види дiяльностi, що i </w:t>
      </w:r>
      <w:r>
        <w:rPr>
          <w:rFonts w:ascii="Times New Roman CYR" w:hAnsi="Times New Roman CYR" w:cs="Times New Roman CYR"/>
          <w:sz w:val="24"/>
          <w:szCs w:val="24"/>
        </w:rPr>
        <w:t>в звiтному роцi.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наступних факторiв: Збiльшення податкiв та нара</w:t>
      </w:r>
      <w:r>
        <w:rPr>
          <w:rFonts w:ascii="Times New Roman CYR" w:hAnsi="Times New Roman CYR" w:cs="Times New Roman CYR"/>
          <w:sz w:val="24"/>
          <w:szCs w:val="24"/>
        </w:rPr>
        <w:t>хувань, погiршення економiчного стану у країнi, збiльшення цiни на матерiальнi ресурси та електроенергiю, iншi фактори, якi безпосередньо впливають на цiну послуг, якi надає Товариство. До кредитного ризику Товариство не схильне, так як iз-за високих вiдсо</w:t>
      </w:r>
      <w:r>
        <w:rPr>
          <w:rFonts w:ascii="Times New Roman CYR" w:hAnsi="Times New Roman CYR" w:cs="Times New Roman CYR"/>
          <w:sz w:val="24"/>
          <w:szCs w:val="24"/>
        </w:rPr>
        <w:t>ткiв Товариство не залучає кредити, а користується власними коштами.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w:t>
      </w:r>
      <w:r>
        <w:rPr>
          <w:rFonts w:ascii="Times New Roman CYR" w:hAnsi="Times New Roman CYR" w:cs="Times New Roman CYR"/>
          <w:sz w:val="24"/>
          <w:szCs w:val="24"/>
        </w:rPr>
        <w:t xml:space="preserve">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w:t>
      </w:r>
      <w:r>
        <w:rPr>
          <w:rFonts w:ascii="Times New Roman CYR" w:hAnsi="Times New Roman CYR" w:cs="Times New Roman CYR"/>
          <w:sz w:val="24"/>
          <w:szCs w:val="24"/>
        </w:rPr>
        <w:lastRenderedPageBreak/>
        <w:t>цiлей. Полiтика управлiння фiнансовими ризиками знаходить своє вiдображ</w:t>
      </w:r>
      <w:r>
        <w:rPr>
          <w:rFonts w:ascii="Times New Roman CYR" w:hAnsi="Times New Roman CYR" w:cs="Times New Roman CYR"/>
          <w:sz w:val="24"/>
          <w:szCs w:val="24"/>
        </w:rPr>
        <w:t>ення у стратегiї i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w:t>
      </w:r>
      <w:r>
        <w:rPr>
          <w:rFonts w:ascii="Times New Roman CYR" w:hAnsi="Times New Roman CYR" w:cs="Times New Roman CYR"/>
          <w:sz w:val="24"/>
          <w:szCs w:val="24"/>
        </w:rPr>
        <w:t xml:space="preserve">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w:t>
      </w:r>
      <w:r>
        <w:rPr>
          <w:rFonts w:ascii="Times New Roman CYR" w:hAnsi="Times New Roman CYR" w:cs="Times New Roman CYR"/>
          <w:sz w:val="24"/>
          <w:szCs w:val="24"/>
        </w:rPr>
        <w:t>. 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пов'язана iз забезпеченням прийняття та виконання адекватних управлiн</w:t>
      </w:r>
      <w:r>
        <w:rPr>
          <w:rFonts w:ascii="Times New Roman CYR" w:hAnsi="Times New Roman CYR" w:cs="Times New Roman CYR"/>
          <w:sz w:val="24"/>
          <w:szCs w:val="24"/>
        </w:rPr>
        <w:t>ських рiшень вiдповiдно до змiн зовнiшнього середовища.</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w:t>
      </w:r>
      <w:r>
        <w:rPr>
          <w:rFonts w:ascii="Times New Roman CYR" w:hAnsi="Times New Roman CYR" w:cs="Times New Roman CYR"/>
          <w:sz w:val="24"/>
          <w:szCs w:val="24"/>
        </w:rPr>
        <w:t>ння або iнвестицiї, їх вартiсть i спосiб фiнансування.</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придбання та вiдчуження активiв не було.</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придбання та вiдчуження активiв не було.</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придбання та вiдчуження активiв не було</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придбання та вiдчуження активiв</w:t>
      </w:r>
      <w:r>
        <w:rPr>
          <w:rFonts w:ascii="Times New Roman CYR" w:hAnsi="Times New Roman CYR" w:cs="Times New Roman CYR"/>
          <w:sz w:val="24"/>
          <w:szCs w:val="24"/>
        </w:rPr>
        <w:t xml:space="preserve"> не було</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придбання активiв не було. У 2025 роцi продано 2 повнiстю замортизованi автомобiлi на суму 12,3 тис.грн.</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w:t>
      </w:r>
      <w:r>
        <w:rPr>
          <w:rFonts w:ascii="Times New Roman CYR" w:hAnsi="Times New Roman CYR" w:cs="Times New Roman CYR"/>
          <w:sz w:val="24"/>
          <w:szCs w:val="24"/>
        </w:rPr>
        <w:t xml:space="preserve">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Обмежень на використання основних засобiв немає. Пе</w:t>
      </w:r>
      <w:r>
        <w:rPr>
          <w:rFonts w:ascii="Times New Roman CYR" w:hAnsi="Times New Roman CYR" w:cs="Times New Roman CYR"/>
          <w:sz w:val="24"/>
          <w:szCs w:val="24"/>
        </w:rPr>
        <w:t>рвiсна вартiсть основних засобiв 448,5 тис.грн. Сума нарахованого зносу 412,3 тис.грн. Ступiнь зносу 92%, ступiнь використання 8%. Змiна вартостi основних засобiв зарахунок амортизацiї. В 2025 роцi нараховано амортизацiї: будiвлi та споруди 6,1 тис. грн. О</w:t>
      </w:r>
      <w:r>
        <w:rPr>
          <w:rFonts w:ascii="Times New Roman CYR" w:hAnsi="Times New Roman CYR" w:cs="Times New Roman CYR"/>
          <w:sz w:val="24"/>
          <w:szCs w:val="24"/>
        </w:rPr>
        <w:t>сновнi засоби всiх груп використовуються за призначенням. Термiн та умови використання основних засобiв вiдповiдають нормам. Орендованими основними засобами товариство не користується. Екологiчних питань, якi можуть позначитися на використаннi активiв пiдп</w:t>
      </w:r>
      <w:r>
        <w:rPr>
          <w:rFonts w:ascii="Times New Roman CYR" w:hAnsi="Times New Roman CYR" w:cs="Times New Roman CYR"/>
          <w:sz w:val="24"/>
          <w:szCs w:val="24"/>
        </w:rPr>
        <w:t>риємства не має. Капiтального будiвництва, розширення або удосконалення основних засобiв в найближчий час пiдприємством не планується. Основнi засоби знаходяться за мiсцем розташування особи.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w:t>
      </w:r>
      <w:r>
        <w:rPr>
          <w:rFonts w:ascii="Times New Roman CYR" w:hAnsi="Times New Roman CYR" w:cs="Times New Roman CYR"/>
          <w:sz w:val="24"/>
          <w:szCs w:val="24"/>
        </w:rPr>
        <w:t>тупiнь залежностi вiд законодавчих або економiчних обмежень.</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Iстотною проблемою, що впливає на дiяльнiсть товариства є фiнансова неспроможнiсть.</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Часта змiна законодавчих актiв, великi ставки податкiв - ще одна iстотна проблема, яка впливає на дiяльнiсть то</w:t>
      </w:r>
      <w:r>
        <w:rPr>
          <w:rFonts w:ascii="Times New Roman CYR" w:hAnsi="Times New Roman CYR" w:cs="Times New Roman CYR"/>
          <w:sz w:val="24"/>
          <w:szCs w:val="24"/>
        </w:rPr>
        <w:t>вариства. Пiдприємство має високий ступiнь залежностi вiд законодавчих та економiчних обмежень. Негативно на дiяльнiсть Емiтента вплинула збройна агресiя росiйської федерацiї.</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Специфiка роботи пiдприємства не передбачає укладення договорiв.</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w:t>
      </w:r>
      <w:r>
        <w:rPr>
          <w:rFonts w:ascii="Times New Roman CYR" w:hAnsi="Times New Roman CYR" w:cs="Times New Roman CYR"/>
          <w:sz w:val="24"/>
          <w:szCs w:val="24"/>
        </w:rPr>
        <w:t>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w:t>
      </w:r>
      <w:r>
        <w:rPr>
          <w:rFonts w:ascii="Times New Roman CYR" w:hAnsi="Times New Roman CYR" w:cs="Times New Roman CYR"/>
          <w:sz w:val="24"/>
          <w:szCs w:val="24"/>
        </w:rPr>
        <w:t>блiкова чисельнiсть працiвникiв облiкового складу (осiб) - 1.</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Середньооблiкова чисельнiсть позаштатних працiвникiв та осiб, якi працiюють за сумiсництвом (осiб) - </w:t>
      </w:r>
      <w:r>
        <w:rPr>
          <w:rFonts w:ascii="Times New Roman CYR" w:hAnsi="Times New Roman CYR" w:cs="Times New Roman CYR"/>
          <w:sz w:val="24"/>
          <w:szCs w:val="24"/>
        </w:rPr>
        <w:lastRenderedPageBreak/>
        <w:t>0.</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Чисельнiсть працiвникiв якi працюють на умовах неповного робочого часу (дня, тижня) (о</w:t>
      </w:r>
      <w:r>
        <w:rPr>
          <w:rFonts w:ascii="Times New Roman CYR" w:hAnsi="Times New Roman CYR" w:cs="Times New Roman CYR"/>
          <w:sz w:val="24"/>
          <w:szCs w:val="24"/>
        </w:rPr>
        <w:t>сiб) - 1.</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Фонд оплати працi - 102,0 тис.грн. </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Пропозицiї щодо реорганiзацiї з боку третiх осiб протягом звiтного </w:t>
      </w:r>
      <w:r>
        <w:rPr>
          <w:rFonts w:ascii="Times New Roman CYR" w:hAnsi="Times New Roman CYR" w:cs="Times New Roman CYR"/>
          <w:sz w:val="24"/>
          <w:szCs w:val="24"/>
        </w:rPr>
        <w:t>перiоду до Товариства не надходили.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w:t>
            </w:r>
            <w:r>
              <w:rPr>
                <w:rFonts w:ascii="Times New Roman CYR" w:hAnsi="Times New Roman CYR" w:cs="Times New Roman CYR"/>
              </w:rPr>
              <w:t>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42,3</w:t>
            </w:r>
          </w:p>
        </w:tc>
        <w:tc>
          <w:tcPr>
            <w:tcW w:w="1082"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42,3</w:t>
            </w:r>
          </w:p>
        </w:tc>
        <w:tc>
          <w:tcPr>
            <w:tcW w:w="1082"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42,3</w:t>
            </w:r>
          </w:p>
        </w:tc>
        <w:tc>
          <w:tcPr>
            <w:tcW w:w="1082"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основних засобiв немає. Первiсна вартiсть основних засобiв 448,5 тис.грн. Сума нарахованого зносу 412,3 тис.грн. Ступiнь зносу 92%, ступiнь використання 8%. Змiна вартостi основних засобiв зарахунок амортизацiї. В 2025 роцi нарахов</w:t>
            </w:r>
            <w:r>
              <w:rPr>
                <w:rFonts w:ascii="Times New Roman CYR" w:hAnsi="Times New Roman CYR" w:cs="Times New Roman CYR"/>
              </w:rPr>
              <w:t>ано амортизацiї: будiвлi та споруди 6,1 тис. грн.</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всiх груп використовуються за призначенням. Термiн та умови використання основних засобiв вiдповiдають нормам. Орендованими основними засобами товариство не користується. </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p w:rsidR="00000000" w:rsidRDefault="001417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89,3</w:t>
            </w:r>
          </w:p>
        </w:tc>
        <w:tc>
          <w:tcPr>
            <w:tcW w:w="3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126,5</w:t>
            </w:r>
          </w:p>
        </w:tc>
        <w:tc>
          <w:tcPr>
            <w:tcW w:w="3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126,5</w:t>
            </w:r>
          </w:p>
        </w:tc>
        <w:tc>
          <w:tcPr>
            <w:tcW w:w="3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w:t>
            </w:r>
          </w:p>
        </w:tc>
        <w:tc>
          <w:tcPr>
            <w:tcW w:w="3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чистих активів особи за звітний період до вартості чистих активів за </w:t>
            </w:r>
            <w:r>
              <w:rPr>
                <w:rFonts w:ascii="Times New Roman CYR" w:hAnsi="Times New Roman CYR" w:cs="Times New Roman CYR"/>
              </w:rPr>
              <w:lastRenderedPageBreak/>
              <w:t>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71</w:t>
            </w:r>
          </w:p>
        </w:tc>
        <w:tc>
          <w:tcPr>
            <w:tcW w:w="3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125,5</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Висновок</w:t>
            </w:r>
          </w:p>
        </w:tc>
        <w:tc>
          <w:tcPr>
            <w:tcW w:w="8740" w:type="dxa"/>
            <w:gridSpan w:val="3"/>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Розгорнутий алгоритм оцiнки, що фактично вiдображається балансовою вартiстю чистих активiв пiдприємства </w:t>
            </w:r>
            <w:r>
              <w:rPr>
                <w:rFonts w:ascii="Times New Roman CYR" w:hAnsi="Times New Roman CYR" w:cs="Times New Roman CYR"/>
              </w:rPr>
              <w:t>виражається такою формулою:</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ЧАф=НАо+ЗВ+НК+НУ+З+(ФА-ФЗ), де</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 -  фактично вiдображена балансова вартiсть чистих активiв пiдприємства;</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НАо - вартiсть основних засобiв, вiдображених у балансi;</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 - залишкова вартiсть нематерiальних активiв, вiдображених у балансi;</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НК - вартiсть незавершених капiтальних вкладень;</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НУ - вартiсть устаткування, призначеного для монтажу;</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 - запаси товарно-матерiальних цiнностей, що входять до складу оборотних активiв</w:t>
            </w:r>
            <w:r>
              <w:rPr>
                <w:rFonts w:ascii="Times New Roman CYR" w:hAnsi="Times New Roman CYR" w:cs="Times New Roman CYR"/>
              </w:rPr>
              <w:t>, за фактично залишковою вартiстю;</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ФА - фiнансовi активи ( грошовi активи, дебiторська заборгованiсть, довгостроковi та короткостроковi фiнансовi вкладення й iншi їх види, вiдображенi  у звiтному балансi );</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ФЗ - фiнансовi зобов'язання усiх видiв (довгостро</w:t>
            </w:r>
            <w:r>
              <w:rPr>
                <w:rFonts w:ascii="Times New Roman CYR" w:hAnsi="Times New Roman CYR" w:cs="Times New Roman CYR"/>
              </w:rPr>
              <w:t>ковi та короткостроковi фiнансовi кредити, товарний кредит, внутрiшня кредиторська заборгованiсть)</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Даний метод оцiнки активiв,  в умовах iнфляцiйної економiки суттєво занижує реальну вартiсть чистих активiв пiдприємства. Це пов'язано з тим, що вартiсть осн</w:t>
            </w:r>
            <w:r>
              <w:rPr>
                <w:rFonts w:ascii="Times New Roman CYR" w:hAnsi="Times New Roman CYR" w:cs="Times New Roman CYR"/>
              </w:rPr>
              <w:t>овних засобiв , запасiв , усiх видiв товарно-матерiальних цiнностей у звiтному балансi вiдбита з урахуванням попередньої їх переоцiнки i до моменту здiйснення  оцiнки вона зросла пiд дiєю iнфляцiї. Тому даний метод дозволяє одержати лише приблизне уявлення</w:t>
            </w:r>
            <w:r>
              <w:rPr>
                <w:rFonts w:ascii="Times New Roman CYR" w:hAnsi="Times New Roman CYR" w:cs="Times New Roman CYR"/>
              </w:rPr>
              <w:t xml:space="preserve"> про мiнiмальну вартiсть чистих активiв пiдприємства.</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складає 89,3 тис.грн. i є меншою вiд статутного капiталу. Неоплачений та вилучений капiтал у товариствi вiдсутнiй. Спiввiдношення розрахункової вартостi чистих активiв i статутн</w:t>
            </w:r>
            <w:r>
              <w:rPr>
                <w:rFonts w:ascii="Times New Roman CYR" w:hAnsi="Times New Roman CYR" w:cs="Times New Roman CYR"/>
              </w:rPr>
              <w:t>ого капiталу товариства є таким, що суперечить вимогам ст.155 Цивiльного Кодексу України.</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p w:rsidR="00000000" w:rsidRDefault="001417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w:t>
            </w:r>
          </w:p>
        </w:tc>
        <w:tc>
          <w:tcPr>
            <w:tcW w:w="194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Поточна кредиторська </w:t>
            </w:r>
            <w:r>
              <w:rPr>
                <w:rFonts w:ascii="Times New Roman CYR" w:hAnsi="Times New Roman CYR" w:cs="Times New Roman CYR"/>
              </w:rPr>
              <w:lastRenderedPageBreak/>
              <w:t>заборгованiсть 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w:t>
            </w:r>
          </w:p>
        </w:tc>
        <w:tc>
          <w:tcPr>
            <w:tcW w:w="194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p w:rsidR="00000000" w:rsidRDefault="001417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 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w:t>
            </w:r>
            <w:r>
              <w:rPr>
                <w:rFonts w:ascii="Times New Roman CYR" w:hAnsi="Times New Roman CYR" w:cs="Times New Roman CYR"/>
              </w:rPr>
              <w:t>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w:t>
            </w:r>
            <w:r>
              <w:rPr>
                <w:rFonts w:ascii="Times New Roman CYR" w:hAnsi="Times New Roman CYR" w:cs="Times New Roman CYR"/>
              </w:rPr>
              <w:t xml:space="preserve"> дiяльнiсть депозитарної установи</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03150, Київська обл., м.Київ, </w:t>
            </w:r>
            <w:r>
              <w:rPr>
                <w:rFonts w:ascii="Times New Roman CYR" w:hAnsi="Times New Roman CYR" w:cs="Times New Roman CYR"/>
              </w:rPr>
              <w:lastRenderedPageBreak/>
              <w:t>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w:t>
            </w:r>
            <w:r>
              <w:rPr>
                <w:rFonts w:ascii="Times New Roman CYR" w:hAnsi="Times New Roman CYR" w:cs="Times New Roman CYR"/>
              </w:rPr>
              <w:t xml:space="preserve"> або іншого документа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w:t>
            </w:r>
            <w:r>
              <w:rPr>
                <w:rFonts w:ascii="Times New Roman CYR" w:hAnsi="Times New Roman CYR" w:cs="Times New Roman CYR"/>
              </w:rPr>
              <w:t>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w:t>
            </w:r>
            <w:r>
              <w:rPr>
                <w:rFonts w:ascii="Times New Roman CYR" w:hAnsi="Times New Roman CYR" w:cs="Times New Roman CYR"/>
              </w:rPr>
              <w:t>го документа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p w:rsidR="00000000" w:rsidRDefault="001417B4">
      <w:pPr>
        <w:widowControl w:val="0"/>
        <w:autoSpaceDE w:val="0"/>
        <w:autoSpaceDN w:val="0"/>
        <w:adjustRightInd w:val="0"/>
        <w:spacing w:after="0" w:line="240" w:lineRule="auto"/>
        <w:rPr>
          <w:rFonts w:ascii="Times New Roman CYR" w:hAnsi="Times New Roman CYR" w:cs="Times New Roman CYR"/>
        </w:rPr>
      </w:pPr>
    </w:p>
    <w:p w:rsidR="00000000" w:rsidRDefault="001417B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2/02/1/11</w:t>
            </w:r>
          </w:p>
        </w:tc>
        <w:tc>
          <w:tcPr>
            <w:tcW w:w="2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505 880</w:t>
            </w:r>
          </w:p>
        </w:tc>
        <w:tc>
          <w:tcPr>
            <w:tcW w:w="19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w:t>
            </w:r>
            <w:r>
              <w:rPr>
                <w:rFonts w:ascii="Times New Roman CYR" w:hAnsi="Times New Roman CYR" w:cs="Times New Roman CYR"/>
              </w:rPr>
              <w:t>ьнiсть Товариства;</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на переважне придбання розмiщуваних Товариством акцiй пропорцiйно частцi належних акцiонеру акцiй у загальнiй кiлькостi акцiй в процесi приватного розмiщення; </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w:t>
            </w:r>
            <w:r>
              <w:rPr>
                <w:rFonts w:ascii="Times New Roman CYR" w:hAnsi="Times New Roman CYR" w:cs="Times New Roman CYR"/>
              </w:rPr>
              <w:lastRenderedPageBreak/>
              <w:t xml:space="preserve">обов'язкового викупу Товариством належних акцiй у випадках та </w:t>
            </w:r>
            <w:r>
              <w:rPr>
                <w:rFonts w:ascii="Times New Roman CYR" w:hAnsi="Times New Roman CYR" w:cs="Times New Roman CYR"/>
              </w:rPr>
              <w:t xml:space="preserve">порядку, передбачених чинним законодавством України </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виходу iз Товариства шляхом вiдчуження належних йому акцiй.</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зобов'язанi: </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iнших внутрiшнiх документiв Товариства;</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 а також оплачувати акцiї у розмiрi, порядку i засобами, передбаченими Статутом Товариства;</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 не </w:t>
            </w:r>
            <w:r>
              <w:rPr>
                <w:rFonts w:ascii="Times New Roman CYR" w:hAnsi="Times New Roman CYR" w:cs="Times New Roman CYR"/>
              </w:rPr>
              <w:lastRenderedPageBreak/>
              <w:t>р</w:t>
            </w:r>
            <w:r>
              <w:rPr>
                <w:rFonts w:ascii="Times New Roman CYR" w:hAnsi="Times New Roman CYR" w:cs="Times New Roman CYR"/>
              </w:rPr>
              <w:t>озголошувати комерцiйну та конфiденцiйну iнформацiю про дiяльнiсть Товариства;</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права та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06.04.2011</w:t>
            </w:r>
          </w:p>
        </w:tc>
        <w:tc>
          <w:tcPr>
            <w:tcW w:w="13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2/02/1/11</w:t>
            </w:r>
          </w:p>
        </w:tc>
        <w:tc>
          <w:tcPr>
            <w:tcW w:w="24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UA4000172795</w:t>
            </w:r>
          </w:p>
        </w:tc>
        <w:tc>
          <w:tcPr>
            <w:tcW w:w="16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505 880</w:t>
            </w:r>
          </w:p>
        </w:tc>
        <w:tc>
          <w:tcPr>
            <w:tcW w:w="14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126 470</w:t>
            </w:r>
          </w:p>
        </w:tc>
        <w:tc>
          <w:tcPr>
            <w:tcW w:w="17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Акцiї емiтента не котируються на бiржах. Заяви органiзаторам торгiвлi ЦП для допуску до котирування не подавалися i подаватися не передбачають</w:t>
            </w:r>
            <w:r>
              <w:rPr>
                <w:rFonts w:ascii="Times New Roman CYR" w:hAnsi="Times New Roman CYR" w:cs="Times New Roman CYR"/>
              </w:rPr>
              <w:t>ся. Факти лiстингу/делiстингу вiдсутнi. Будь-якi iншi папери в товариствi не випускались.</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UA4000172795</w:t>
            </w:r>
          </w:p>
        </w:tc>
        <w:tc>
          <w:tcPr>
            <w:tcW w:w="38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326160</w:t>
            </w:r>
          </w:p>
        </w:tc>
        <w:tc>
          <w:tcPr>
            <w:tcW w:w="38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179720</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w:t>
            </w:r>
            <w:r>
              <w:rPr>
                <w:rFonts w:ascii="Times New Roman CYR" w:hAnsi="Times New Roman CYR" w:cs="Times New Roman CYR"/>
              </w:rPr>
              <w:t>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Кількість голосуючих акцій, права голосу за </w:t>
            </w:r>
            <w:r>
              <w:rPr>
                <w:rFonts w:ascii="Times New Roman CYR" w:hAnsi="Times New Roman CYR" w:cs="Times New Roman CYR"/>
              </w:rPr>
              <w:lastRenderedPageBreak/>
              <w:t>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Кількість голо</w:t>
            </w:r>
            <w:r>
              <w:rPr>
                <w:rFonts w:ascii="Times New Roman CYR" w:hAnsi="Times New Roman CYR" w:cs="Times New Roman CYR"/>
              </w:rPr>
              <w:t xml:space="preserve">суючих акцій, права голосу за якими за результатами обмеження таких прав </w:t>
            </w:r>
            <w:r>
              <w:rPr>
                <w:rFonts w:ascii="Times New Roman CYR" w:hAnsi="Times New Roman CYR" w:cs="Times New Roman CYR"/>
              </w:rPr>
              <w:lastRenderedPageBreak/>
              <w:t>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06.04.2011</w:t>
            </w:r>
          </w:p>
        </w:tc>
        <w:tc>
          <w:tcPr>
            <w:tcW w:w="2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2/02/1/11</w:t>
            </w:r>
          </w:p>
        </w:tc>
        <w:tc>
          <w:tcPr>
            <w:tcW w:w="2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UA4000172795</w:t>
            </w:r>
          </w:p>
        </w:tc>
        <w:tc>
          <w:tcPr>
            <w:tcW w:w="20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505 880</w:t>
            </w:r>
          </w:p>
        </w:tc>
        <w:tc>
          <w:tcPr>
            <w:tcW w:w="21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126 470</w:t>
            </w:r>
          </w:p>
        </w:tc>
        <w:tc>
          <w:tcPr>
            <w:tcW w:w="15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326 160</w:t>
            </w:r>
          </w:p>
        </w:tc>
        <w:tc>
          <w:tcPr>
            <w:tcW w:w="150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Iнших обмежень не має. Пiдстава: п.10 Прикiнцевих та перехiдних положень Закону України &lt;Про депозитарну систему України&gt; та Лист Нацiональної комiсiї з цiнних паперiв та фондовог</w:t>
            </w:r>
            <w:r>
              <w:rPr>
                <w:rFonts w:ascii="Times New Roman CYR" w:hAnsi="Times New Roman CYR" w:cs="Times New Roman CYR"/>
              </w:rPr>
              <w:t>о ринку №08/03/18049/НК вiд 30.09.2014 року.</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p w:rsidR="00000000" w:rsidRDefault="001417B4">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1417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1417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w:t>
      </w:r>
      <w:r>
        <w:rPr>
          <w:rFonts w:ascii="Times New Roman CYR" w:hAnsi="Times New Roman CYR" w:cs="Times New Roman CYR"/>
          <w:sz w:val="24"/>
          <w:szCs w:val="24"/>
        </w:rPr>
        <w:t>ості, за якою розміщено електронний файл фінансової звітності: Особа не подає звiтнiсть до ЦЗФЗ.</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"Козятинський РП "Агромаш" вiд iменi осiб, що здiйснюють управлiнськi функцiї та пiдписують рiчну iнформ</w:t>
      </w:r>
      <w:r>
        <w:rPr>
          <w:rFonts w:ascii="Times New Roman CYR" w:hAnsi="Times New Roman CYR" w:cs="Times New Roman CYR"/>
          <w:sz w:val="24"/>
          <w:szCs w:val="24"/>
        </w:rPr>
        <w:t>ацiю емiтента, заявляє, що наскiльки це вiдомо вiдповiдальним особам,  рiчна фiнансова звiтнiсть Товариства, пiдготовлена вiдповiдно до стандартiв бухгалтерського облiку, що вимагаються згiдно iз Законом України "Про бухгалтерський облiк та фiнансову звiтн</w:t>
      </w:r>
      <w:r>
        <w:rPr>
          <w:rFonts w:ascii="Times New Roman CYR" w:hAnsi="Times New Roman CYR" w:cs="Times New Roman CYR"/>
          <w:sz w:val="24"/>
          <w:szCs w:val="24"/>
        </w:rPr>
        <w:t>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w:t>
      </w:r>
      <w:r>
        <w:rPr>
          <w:rFonts w:ascii="Times New Roman CYR" w:hAnsi="Times New Roman CYR" w:cs="Times New Roman CYR"/>
          <w:sz w:val="24"/>
          <w:szCs w:val="24"/>
        </w:rPr>
        <w:t>ностi та стан Товариства  разом з описом основних ризикiв та невизначеностей, з якими воно стикається у своїй господарськiй дiяльностi. Вiд iменi керiвництва - Директор ПрАТ "Козятинський РП "Агромаш"  Пастощук Галина Олександрiвна.</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w:t>
      </w:r>
      <w:r>
        <w:rPr>
          <w:rFonts w:ascii="Times New Roman CYR" w:hAnsi="Times New Roman CYR" w:cs="Times New Roman CYR"/>
          <w:b/>
          <w:bCs/>
          <w:sz w:val="24"/>
          <w:szCs w:val="24"/>
        </w:rPr>
        <w:t>ація</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"Козятинське районне пiдприємство "Агромаш". Звiт керiвництва мiстить достовiрну та об'єктивну iнформацiю про стан, розвиток i здiйснення господарської дiяльностi товариства з описом основних ризикiв</w:t>
      </w:r>
      <w:r>
        <w:rPr>
          <w:rFonts w:ascii="Times New Roman CYR" w:hAnsi="Times New Roman CYR" w:cs="Times New Roman CYR"/>
          <w:sz w:val="24"/>
          <w:szCs w:val="24"/>
        </w:rPr>
        <w:t xml:space="preserve"> та невизначеностей, з якими стикнулось товариство у процесi господарської дiяльностi. З повагою директор Пастощук Г.О.</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сьогоднiшнiй день Товариство здiйснює господарську дiя</w:t>
      </w:r>
      <w:r>
        <w:rPr>
          <w:rFonts w:ascii="Times New Roman CYR" w:hAnsi="Times New Roman CYR" w:cs="Times New Roman CYR"/>
          <w:sz w:val="24"/>
          <w:szCs w:val="24"/>
        </w:rPr>
        <w:t>льнiсть у сферi здачi в оренду нерухомостi. Пiдприємство в даний час надає послуги в орендi примiщень складських примiщень. На всi примiщення оформлено договори оренди i передано в користування приватним пiдприємцям та юридичним особам. Цiни на оренду вста</w:t>
      </w:r>
      <w:r>
        <w:rPr>
          <w:rFonts w:ascii="Times New Roman CYR" w:hAnsi="Times New Roman CYR" w:cs="Times New Roman CYR"/>
          <w:sz w:val="24"/>
          <w:szCs w:val="24"/>
        </w:rPr>
        <w:t>новленi на рiвнi середнiх, якi склались для даного району. Попит на оренду складських примiщень менший, нiж наявна пропозицiя. В планах пiдприємства вiдновити дiяльнiсть, налагодити роботу складського примiщення. В наступному роцi плануємо також отримувати</w:t>
      </w:r>
      <w:r>
        <w:rPr>
          <w:rFonts w:ascii="Times New Roman CYR" w:hAnsi="Times New Roman CYR" w:cs="Times New Roman CYR"/>
          <w:sz w:val="24"/>
          <w:szCs w:val="24"/>
        </w:rPr>
        <w:t xml:space="preserve"> дохiд вiд оренди примiщення та розвивати орендний бiзнес. Iстотними факторами, якi можуть в подальшому вплинути на дiяльнiсть пiдприємства є соцiально-економiчнi фактори.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w:t>
      </w:r>
      <w:r>
        <w:rPr>
          <w:rFonts w:ascii="Times New Roman CYR" w:hAnsi="Times New Roman CYR" w:cs="Times New Roman CYR"/>
          <w:sz w:val="24"/>
          <w:szCs w:val="24"/>
        </w:rPr>
        <w:t>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w:t>
      </w:r>
      <w:r>
        <w:rPr>
          <w:rFonts w:ascii="Times New Roman CYR" w:hAnsi="Times New Roman CYR" w:cs="Times New Roman CYR"/>
          <w:sz w:val="24"/>
          <w:szCs w:val="24"/>
        </w:rPr>
        <w:t>нь, фінансового стану і доходів або витрат</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w:t>
      </w:r>
      <w:r>
        <w:rPr>
          <w:rFonts w:ascii="Times New Roman CYR" w:hAnsi="Times New Roman CYR" w:cs="Times New Roman CYR"/>
          <w:sz w:val="24"/>
          <w:szCs w:val="24"/>
        </w:rPr>
        <w:t>ня кожного основного виду прогнозованої операції, для якої використовуються операції хеджування</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w:t>
      </w:r>
      <w:r>
        <w:rPr>
          <w:rFonts w:ascii="Times New Roman CYR" w:hAnsi="Times New Roman CYR" w:cs="Times New Roman CYR"/>
          <w:sz w:val="24"/>
          <w:szCs w:val="24"/>
        </w:rPr>
        <w:t xml:space="preserve">я структури капiталу (спiввiдношення мiж власними та позичковими джерелами формування фiнансових ресурсiв) та </w:t>
      </w:r>
      <w:r>
        <w:rPr>
          <w:rFonts w:ascii="Times New Roman CYR" w:hAnsi="Times New Roman CYR" w:cs="Times New Roman CYR"/>
          <w:sz w:val="24"/>
          <w:szCs w:val="24"/>
        </w:rPr>
        <w:lastRenderedPageBreak/>
        <w:t>оптимiзацiя портфеля боргових зобов'язань. Полiтика емiтента щодо управлiння фiнансовими ризиками - система цiлей i завдань управлiння ризиками, а</w:t>
      </w:r>
      <w:r>
        <w:rPr>
          <w:rFonts w:ascii="Times New Roman CYR" w:hAnsi="Times New Roman CYR" w:cs="Times New Roman CYR"/>
          <w:sz w:val="24"/>
          <w:szCs w:val="24"/>
        </w:rPr>
        <w:t xml:space="preserve">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w:t>
      </w:r>
      <w:r>
        <w:rPr>
          <w:rFonts w:ascii="Times New Roman CYR" w:hAnsi="Times New Roman CYR" w:cs="Times New Roman CYR"/>
          <w:sz w:val="24"/>
          <w:szCs w:val="24"/>
        </w:rPr>
        <w:t xml:space="preserve">ами на бiржi (товарнiй, фондовiй) - операцiї хеджування. </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має схильнiсть до цiнових ризикiв;</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w:t>
      </w:r>
      <w:r>
        <w:rPr>
          <w:rFonts w:ascii="Times New Roman CYR" w:hAnsi="Times New Roman CYR" w:cs="Times New Roman CYR"/>
          <w:sz w:val="24"/>
          <w:szCs w:val="24"/>
        </w:rPr>
        <w:t>нiсть емiтента до  кредитного ризику: емiтент не має схильностi до кредитного ризику (емiтент не має кредитних зобов'язань);</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схильностi до ризику лiквiдностi/та або ризик</w:t>
      </w:r>
      <w:r>
        <w:rPr>
          <w:rFonts w:ascii="Times New Roman CYR" w:hAnsi="Times New Roman CYR" w:cs="Times New Roman CYR"/>
          <w:sz w:val="24"/>
          <w:szCs w:val="24"/>
        </w:rPr>
        <w:t>у грошових потокiв.</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Iльченко Дмитро Вячеславович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Масюйда Iван Миколайович</w:t>
            </w:r>
          </w:p>
        </w:tc>
        <w:tc>
          <w:tcPr>
            <w:tcW w:w="11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Левчук Сергiй Леонiдович</w:t>
            </w:r>
          </w:p>
        </w:tc>
        <w:tc>
          <w:tcPr>
            <w:tcW w:w="11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04.08.2025 р., ВИРIШИЛИ:</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1.Затвердити рiчну iнформацiю за 2023 рiк, розмiстити на власному сайтi та подати до НКЦПФР.</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2.Затвердити рiчну iнформацiю за 2024 рiк, розмiстити на власному сайтi та подати до НКЦПФР.</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p w:rsidR="00000000" w:rsidRDefault="001417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w:t>
      </w:r>
      <w:r>
        <w:rPr>
          <w:rFonts w:ascii="Times New Roman CYR" w:hAnsi="Times New Roman CYR" w:cs="Times New Roman CYR"/>
          <w:sz w:val="24"/>
          <w:szCs w:val="24"/>
        </w:rPr>
        <w:t>б або iншу дiяльнiсть - оплачувану i безоплатну;</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w:t>
      </w:r>
      <w:r>
        <w:rPr>
          <w:rFonts w:ascii="Times New Roman CYR" w:hAnsi="Times New Roman CYR" w:cs="Times New Roman CYR"/>
          <w:sz w:val="24"/>
          <w:szCs w:val="24"/>
        </w:rPr>
        <w:t xml:space="preserve">ми Товариства не розглядались та не приймались рiшення по питанням незалежностi кожного </w:t>
      </w:r>
      <w:r>
        <w:rPr>
          <w:rFonts w:ascii="Times New Roman CYR" w:hAnsi="Times New Roman CYR" w:cs="Times New Roman CYR"/>
          <w:sz w:val="24"/>
          <w:szCs w:val="24"/>
        </w:rPr>
        <w:lastRenderedPageBreak/>
        <w:t xml:space="preserve">члена ради. </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w:t>
      </w:r>
      <w:r>
        <w:rPr>
          <w:rFonts w:ascii="Times New Roman CYR" w:hAnsi="Times New Roman CYR" w:cs="Times New Roman CYR"/>
          <w:sz w:val="24"/>
          <w:szCs w:val="24"/>
        </w:rPr>
        <w:t>влених цiлей особи.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w:t>
      </w:r>
      <w:r>
        <w:rPr>
          <w:rFonts w:ascii="Times New Roman CYR" w:hAnsi="Times New Roman CYR" w:cs="Times New Roman CYR"/>
          <w:sz w:val="24"/>
          <w:szCs w:val="24"/>
        </w:rPr>
        <w:t>структури Наглядової ради, її дiяльностi, компетентностi,  ефективностi та незалежностi кожного члена ради. Оцiнка дiяльностi Наглядової ради вiдбувається шляхом затвердження звiту Наглядової ради за звiтний рiк на рiчних Загальних зборах акцiонерiв. Оцiнк</w:t>
      </w:r>
      <w:r>
        <w:rPr>
          <w:rFonts w:ascii="Times New Roman CYR" w:hAnsi="Times New Roman CYR" w:cs="Times New Roman CYR"/>
          <w:sz w:val="24"/>
          <w:szCs w:val="24"/>
        </w:rPr>
        <w:t>а виконання радою поставлених цiлей не проводилась.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w:t>
      </w:r>
      <w:r>
        <w:rPr>
          <w:rFonts w:ascii="Times New Roman CYR" w:hAnsi="Times New Roman CYR" w:cs="Times New Roman CYR"/>
          <w:sz w:val="24"/>
          <w:szCs w:val="24"/>
        </w:rPr>
        <w:t>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w:t>
      </w:r>
      <w:r>
        <w:rPr>
          <w:rFonts w:ascii="Times New Roman CYR" w:hAnsi="Times New Roman CYR" w:cs="Times New Roman CYR"/>
          <w:sz w:val="24"/>
          <w:szCs w:val="24"/>
        </w:rPr>
        <w:t xml:space="preserve">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окремих </w:t>
      </w:r>
      <w:r>
        <w:rPr>
          <w:rFonts w:ascii="Times New Roman CYR" w:hAnsi="Times New Roman CYR" w:cs="Times New Roman CYR"/>
          <w:sz w:val="24"/>
          <w:szCs w:val="24"/>
        </w:rPr>
        <w:t>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проводяться за необхiднiстю. Засiдання Наглядової ради вважається правомочни</w:t>
      </w:r>
      <w:r>
        <w:rPr>
          <w:rFonts w:ascii="Times New Roman CYR" w:hAnsi="Times New Roman CYR" w:cs="Times New Roman CYR"/>
          <w:sz w:val="24"/>
          <w:szCs w:val="24"/>
        </w:rPr>
        <w:t>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вiдповiдно</w:t>
      </w:r>
      <w:r>
        <w:rPr>
          <w:rFonts w:ascii="Times New Roman CYR" w:hAnsi="Times New Roman CYR" w:cs="Times New Roman CYR"/>
          <w:sz w:val="24"/>
          <w:szCs w:val="24"/>
        </w:rPr>
        <w:t xml:space="preserve">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Наглядової ради має один голос. Рiшення Наглядової ради приймається простою бiльшiс</w:t>
      </w:r>
      <w:r>
        <w:rPr>
          <w:rFonts w:ascii="Times New Roman CYR" w:hAnsi="Times New Roman CYR" w:cs="Times New Roman CYR"/>
          <w:sz w:val="24"/>
          <w:szCs w:val="24"/>
        </w:rPr>
        <w:t xml:space="preserve">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Наглядової ради </w:t>
      </w:r>
      <w:r>
        <w:rPr>
          <w:rFonts w:ascii="Times New Roman CYR" w:hAnsi="Times New Roman CYR" w:cs="Times New Roman CYR"/>
          <w:sz w:val="24"/>
          <w:szCs w:val="24"/>
        </w:rPr>
        <w:t>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фiнансово-господарськiй дiяльностi товариства, не проводилась.</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w:t>
      </w:r>
      <w:r>
        <w:rPr>
          <w:rFonts w:ascii="Times New Roman CYR" w:hAnsi="Times New Roman CYR" w:cs="Times New Roman CYR"/>
          <w:b/>
          <w:bCs/>
          <w:sz w:val="24"/>
          <w:szCs w:val="24"/>
        </w:rPr>
        <w:t>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Пастощук Галина Олександрiвна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w:t>
            </w:r>
            <w:r>
              <w:rPr>
                <w:rFonts w:ascii="Times New Roman CYR" w:hAnsi="Times New Roman CYR" w:cs="Times New Roman CYR"/>
              </w:rPr>
              <w:t>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Сфера відповідальності </w:t>
            </w:r>
            <w:r>
              <w:rPr>
                <w:rFonts w:ascii="Times New Roman CYR" w:hAnsi="Times New Roman CYR" w:cs="Times New Roman CYR"/>
              </w:rPr>
              <w:lastRenderedPageBreak/>
              <w:t>заступника керівника</w:t>
            </w:r>
          </w:p>
        </w:tc>
        <w:tc>
          <w:tcPr>
            <w:tcW w:w="65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директорка Пастощук Галина Олександрiвна. Склад структура та дiяльнiсть виконавчого органу вiдповiдає потребам Товариства для рiшення питань, якi стосуються розвитку пiдприємства, збереженню матерiально-технiчної бази пiдп</w:t>
      </w:r>
      <w:r>
        <w:rPr>
          <w:rFonts w:ascii="Times New Roman CYR" w:hAnsi="Times New Roman CYR" w:cs="Times New Roman CYR"/>
          <w:sz w:val="24"/>
          <w:szCs w:val="24"/>
        </w:rPr>
        <w:t>риємства.</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w:t>
      </w:r>
      <w:r>
        <w:rPr>
          <w:rFonts w:ascii="Times New Roman CYR" w:hAnsi="Times New Roman CYR" w:cs="Times New Roman CYR"/>
          <w:sz w:val="24"/>
          <w:szCs w:val="24"/>
        </w:rPr>
        <w:t>оплатну;</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виконавчого органу позитивно вплинули на фiнансово-господарську дiяльнiсть товариства. </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w:t>
      </w:r>
      <w:r>
        <w:rPr>
          <w:rFonts w:ascii="Times New Roman CYR" w:hAnsi="Times New Roman CYR" w:cs="Times New Roman CYR"/>
          <w:sz w:val="24"/>
          <w:szCs w:val="24"/>
        </w:rPr>
        <w:t xml:space="preserve"> яким чином дiяльнiсть виконавчого органу зумовила змiни у фiнансово-господарськiй дiяльностi особи.</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товариства, не проводилась.</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w:t>
      </w:r>
      <w:r>
        <w:rPr>
          <w:rFonts w:ascii="Times New Roman CYR" w:hAnsi="Times New Roman CYR" w:cs="Times New Roman CYR"/>
          <w:b/>
          <w:bCs/>
          <w:sz w:val="24"/>
          <w:szCs w:val="24"/>
        </w:rPr>
        <w:t>,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Iльченко Дмитро Вячеславович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64,47</w:t>
            </w:r>
          </w:p>
        </w:tc>
        <w:tc>
          <w:tcPr>
            <w:tcW w:w="175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64,47</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w:t>
            </w:r>
            <w:r>
              <w:rPr>
                <w:rFonts w:ascii="Times New Roman CYR" w:hAnsi="Times New Roman CYR" w:cs="Times New Roman CYR"/>
              </w:rPr>
              <w:t xml:space="preserve">аперах вiд власного iменi та не здiйснили переказ належних їм прав на цiннi папери на свiй рахунок у цiнних паперах, вiдкритий в iншiй депозитарнiй установi. Тому вiдповiдно до п.10 </w:t>
            </w:r>
            <w:r>
              <w:rPr>
                <w:rFonts w:ascii="Times New Roman CYR" w:hAnsi="Times New Roman CYR" w:cs="Times New Roman CYR"/>
              </w:rPr>
              <w:lastRenderedPageBreak/>
              <w:t>Прикiнцевих та перехiдних положень Закону України &lt;Про депозитарну систему</w:t>
            </w:r>
            <w:r>
              <w:rPr>
                <w:rFonts w:ascii="Times New Roman CYR" w:hAnsi="Times New Roman CYR" w:cs="Times New Roman CYR"/>
              </w:rPr>
              <w:t xml:space="preserve"> України&gt; та Листа Нацiональної комiсiї з цiнних паперiв та фондового ринку №08/03/18049/НК вiд 30.09.2014 року, їх акцiї не враховуються при визначеннi кворуму та при голосуваннi в органах емiтента. Iнших обмежень прав участi та голосування акцiонерiв на </w:t>
            </w:r>
            <w:r>
              <w:rPr>
                <w:rFonts w:ascii="Times New Roman CYR" w:hAnsi="Times New Roman CYR" w:cs="Times New Roman CYR"/>
              </w:rPr>
              <w:t>загальних зборах емiтентiв немає.</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p w:rsidR="00000000" w:rsidRDefault="001417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w:t>
      </w:r>
      <w:r>
        <w:rPr>
          <w:rFonts w:ascii="Times New Roman CYR" w:hAnsi="Times New Roman CYR" w:cs="Times New Roman CYR"/>
          <w:sz w:val="24"/>
          <w:szCs w:val="24"/>
        </w:rPr>
        <w:t>ають право розкривати рiчну фiнансову звiтнiсть без перевiрки суб'єктом аудиторської дiяльностi.</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1417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1417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"Козятинське районне пiдприємство "Агромаш"</w:t>
            </w:r>
          </w:p>
        </w:tc>
        <w:tc>
          <w:tcPr>
            <w:tcW w:w="1990" w:type="dxa"/>
            <w:tcBorders>
              <w:top w:val="nil"/>
              <w:left w:val="nil"/>
              <w:bottom w:val="nil"/>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03567316</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UA05120090000060589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06024</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22100, Вінницька обл., Хмiльницький р-н, м.Козятин, вул.Довженка,103, +38063296218</w:t>
      </w:r>
    </w:p>
    <w:p w:rsidR="00000000" w:rsidRDefault="001417B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417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1417B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42,3</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460,8</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(418,5)</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42,3</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86,9</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88,9</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131,2</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r>
    </w:tbl>
    <w:p w:rsidR="00000000" w:rsidRDefault="001417B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126,5</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559,1</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-560,1</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-596,3</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125,5</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131,2</w:t>
            </w:r>
          </w:p>
        </w:tc>
        <w:tc>
          <w:tcPr>
            <w:tcW w:w="1645"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r>
    </w:tbl>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Примітки: Даних немає</w:t>
      </w:r>
    </w:p>
    <w:p w:rsidR="00000000" w:rsidRDefault="001417B4">
      <w:pPr>
        <w:widowControl w:val="0"/>
        <w:autoSpaceDE w:val="0"/>
        <w:autoSpaceDN w:val="0"/>
        <w:adjustRightInd w:val="0"/>
        <w:spacing w:after="0" w:line="240" w:lineRule="auto"/>
        <w:rPr>
          <w:rFonts w:ascii="Times New Roman CYR" w:hAnsi="Times New Roman CYR" w:cs="Times New Roman CYR"/>
        </w:rPr>
      </w:pPr>
    </w:p>
    <w:p w:rsidR="00000000" w:rsidRDefault="001417B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417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1417B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316,8</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316,8</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c>
          <w:tcPr>
            <w:tcW w:w="1645" w:type="dxa"/>
            <w:gridSpan w:val="2"/>
            <w:tcBorders>
              <w:top w:val="single" w:sz="6" w:space="0" w:color="auto"/>
              <w:left w:val="single" w:sz="6" w:space="0" w:color="auto"/>
              <w:bottom w:val="single" w:sz="6" w:space="0" w:color="auto"/>
            </w:tcBorders>
            <w:vAlign w:val="center"/>
          </w:tcPr>
          <w:p w:rsidR="00000000" w:rsidRDefault="001417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w:t>
            </w:r>
          </w:p>
        </w:tc>
      </w:tr>
    </w:tbl>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Пастощук Галина Олександрiвна</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p>
    <w:p w:rsidR="00000000" w:rsidRDefault="001417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 xml:space="preserve"> Посада головного бухгалтера не передбачена штатним розписом.</w:t>
      </w:r>
    </w:p>
    <w:p w:rsidR="00000000" w:rsidRDefault="001417B4">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417B4">
      <w:pPr>
        <w:widowControl w:val="0"/>
        <w:autoSpaceDE w:val="0"/>
        <w:autoSpaceDN w:val="0"/>
        <w:adjustRightInd w:val="0"/>
        <w:spacing w:after="0" w:line="240" w:lineRule="auto"/>
        <w:rPr>
          <w:rFonts w:ascii="Times New Roman CYR" w:hAnsi="Times New Roman CYR" w:cs="Times New Roman CYR"/>
        </w:rPr>
      </w:pPr>
    </w:p>
    <w:p w:rsidR="001417B4" w:rsidRDefault="001417B4">
      <w:pPr>
        <w:widowControl w:val="0"/>
        <w:autoSpaceDE w:val="0"/>
        <w:autoSpaceDN w:val="0"/>
        <w:adjustRightInd w:val="0"/>
        <w:spacing w:after="0" w:line="240" w:lineRule="auto"/>
        <w:rPr>
          <w:rFonts w:ascii="Times New Roman CYR" w:hAnsi="Times New Roman CYR" w:cs="Times New Roman CYR"/>
        </w:rPr>
      </w:pPr>
    </w:p>
    <w:sectPr w:rsidR="001417B4">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95"/>
    <w:rsid w:val="001417B4"/>
    <w:rsid w:val="001D0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96CC20-D109-487C-BE22-721E6721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8382</Words>
  <Characters>47780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2026-03-05T14:57:00Z</dcterms:created>
  <dcterms:modified xsi:type="dcterms:W3CDTF">2026-03-05T14:57:00Z</dcterms:modified>
</cp:coreProperties>
</file>